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高等教育管理改革专项课题申报指南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专项课题申报指南提供的选题内容为课题研究领域和方向，申请人可据此分解、细化，自拟题目进行申报。不在指南研究领域和方向的资助课题不予立项。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1.加强高等教育分类管理改革研究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2.教育、科技、人才协同推进教育强省研究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3.高校一流学科建设与发展研究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4.高等教育服务支撑“1269”行动计划研究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5.高校学科专业结构优化调整研究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6.加快研究型大学内涵建设的对策研究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7.促进应用型高校转型发展的对策研究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8.高校科技成果转化创新机制研究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9.加强现代产业学院建设对策研究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10.产教融合背景下课程与教材建设研究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11.高校内部激励机制研究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12.创新校地合作模式研究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13.学术学位与专业学位研究生教育分类发展研究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14.加快推动博士研究生教育高质量发展研究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15.加强研究生导师队伍建设研究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16.加强研究生教育高水平开放合作研究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17.数字化赋能高等教育高质量发展研究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18.高校</w:t>
      </w:r>
      <w:r>
        <w:rPr>
          <w:rFonts w:ascii="仿宋_GB2312" w:hAnsi="仿宋_GB2312" w:eastAsia="仿宋_GB2312" w:cs="仿宋_GB2312"/>
          <w:sz w:val="32"/>
          <w:szCs w:val="32"/>
        </w:rPr>
        <w:t>推动新质生产力加快发展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对策研究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zZkZDdmMmFhNzI2NTNkNWQ2NTdmZmIzOTkwZWYifQ=="/>
  </w:docVars>
  <w:rsids>
    <w:rsidRoot w:val="391C2E37"/>
    <w:rsid w:val="28AD3FC5"/>
    <w:rsid w:val="391C2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customStyle="1" w:styleId="6">
    <w:name w:val="样式1"/>
    <w:basedOn w:val="1"/>
    <w:next w:val="3"/>
    <w:autoRedefine/>
    <w:qFormat/>
    <w:uiPriority w:val="0"/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2024-05-28T02:50:00Z</dcterms:created>
  <dc:creator>Administrator</dc:creator>
  <cp:lastModifiedBy>Administrator</cp:lastModifiedBy>
  <dcterms:modified xsi:type="dcterms:W3CDTF">2024-05-28T02:50:41Z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24AF515BEF6A481E9E4F1781AF7EAF0E_11</vt:lpwstr>
  </property>
</Properties>
</file>