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  <w:color w:val="FF0000"/>
          <w:sz w:val="96"/>
          <w:szCs w:val="44"/>
        </w:rPr>
      </w:pPr>
      <w:r>
        <w:rPr>
          <w:rFonts w:hint="eastAsia"/>
          <w:b/>
          <w:color w:val="FF0000"/>
          <w:sz w:val="96"/>
          <w:szCs w:val="44"/>
        </w:rPr>
        <w:t>景德镇学院科研处</w:t>
      </w:r>
    </w:p>
    <w:p>
      <w:pPr>
        <w:spacing w:afterLines="50"/>
        <w:jc w:val="center"/>
        <w:rPr>
          <w:sz w:val="32"/>
        </w:rPr>
      </w:pPr>
      <w:r>
        <w:rPr>
          <w:rFonts w:hint="eastAsia"/>
          <w:sz w:val="32"/>
        </w:rPr>
        <w:t>景院科发[ 2022] 1号</w:t>
      </w:r>
    </w:p>
    <w:p>
      <w:pPr>
        <w:spacing w:afterLines="50"/>
        <w:jc w:val="center"/>
        <w:rPr>
          <w:sz w:val="32"/>
        </w:rPr>
      </w:pPr>
      <w:r>
        <w:pict>
          <v:shape id="AutoShape 6" o:spid="_x0000_s1026" o:spt="32" type="#_x0000_t32" style="position:absolute;left:0pt;margin-left:5.35pt;margin-top:12.1pt;height:0.75pt;width:426pt;z-index:251659264;mso-width-relative:page;mso-height-relative:page;" filled="f" stroked="t" coordsize="21600,21600" o:gfxdata="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skOL7VAAAACAEAAA8AAAAAAAAA&#10;AQAgAAAAIgAAAGRycy9kb3ducmV2LnhtbFBLAQIUABQAAAAIAIdO4kDenIRc2wEAALYDAAAOAAAA&#10;AAAAAAEAIAAAACQBAABkcnMvZTJvRG9jLnhtbFBLBQYAAAAABgAGAFkBAABxBQAAAAA=&#10;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>
      <w:pPr>
        <w:spacing w:beforeLines="100" w:line="360" w:lineRule="exact"/>
        <w:jc w:val="center"/>
        <w:rPr>
          <w:rFonts w:hint="eastAsia" w:ascii="小标宋" w:hAnsi="Microsoft JhengHei" w:eastAsia="小标宋" w:cs="Microsoft JhengHei"/>
          <w:b/>
          <w:color w:val="000000"/>
          <w:sz w:val="44"/>
          <w:szCs w:val="44"/>
        </w:rPr>
      </w:pPr>
      <w:r>
        <w:rPr>
          <w:rFonts w:hint="eastAsia" w:ascii="小标宋" w:hAnsi="Microsoft JhengHei" w:eastAsia="小标宋" w:cs="Microsoft JhengHei"/>
          <w:b/>
          <w:color w:val="000000"/>
          <w:sz w:val="44"/>
          <w:szCs w:val="44"/>
        </w:rPr>
        <w:t>景德镇学院二级学院科研工作考核办法</w:t>
      </w:r>
    </w:p>
    <w:p>
      <w:pPr>
        <w:spacing w:beforeLines="100" w:line="360" w:lineRule="exact"/>
        <w:jc w:val="center"/>
        <w:rPr>
          <w:rFonts w:hint="eastAsia" w:ascii="小标宋" w:hAnsi="Microsoft JhengHei" w:eastAsia="小标宋" w:cs="Microsoft JhengHei"/>
          <w:b/>
          <w:color w:val="000000"/>
          <w:sz w:val="44"/>
          <w:szCs w:val="44"/>
        </w:rPr>
      </w:pPr>
      <w:r>
        <w:rPr>
          <w:rFonts w:hint="eastAsia" w:ascii="小标宋" w:hAnsi="Microsoft JhengHei" w:eastAsia="小标宋" w:cs="Microsoft JhengHei"/>
          <w:b/>
          <w:color w:val="000000"/>
          <w:sz w:val="44"/>
          <w:szCs w:val="44"/>
        </w:rPr>
        <w:t>（试行）</w:t>
      </w:r>
    </w:p>
    <w:p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ind w:firstLine="55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为进一步提高各二级学院的科研主体责任意识，</w:t>
      </w:r>
      <w:r>
        <w:rPr>
          <w:rFonts w:hint="eastAsia" w:ascii="仿宋" w:hAnsi="仿宋" w:eastAsia="仿宋" w:cs="仿宋"/>
          <w:sz w:val="32"/>
          <w:szCs w:val="32"/>
        </w:rPr>
        <w:t>提高二级学院的科研管理水平，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加强内涵建设，强化科研工作质量意识，</w:t>
      </w:r>
      <w:r>
        <w:rPr>
          <w:rFonts w:hint="eastAsia" w:ascii="仿宋" w:hAnsi="仿宋" w:eastAsia="仿宋" w:cs="仿宋"/>
          <w:sz w:val="32"/>
          <w:szCs w:val="32"/>
        </w:rPr>
        <w:t>浓郁学术氛围，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提升我校整体科研实力，</w:t>
      </w:r>
      <w:r>
        <w:rPr>
          <w:rFonts w:hint="eastAsia" w:ascii="仿宋" w:hAnsi="仿宋" w:eastAsia="仿宋" w:cs="仿宋"/>
          <w:sz w:val="32"/>
          <w:szCs w:val="32"/>
        </w:rPr>
        <w:t>增强服务地方经济社会发展的能力，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特制定本考核办法。</w:t>
      </w:r>
    </w:p>
    <w:p>
      <w:pPr>
        <w:autoSpaceDE w:val="0"/>
        <w:autoSpaceDN w:val="0"/>
        <w:adjustRightInd w:val="0"/>
        <w:spacing w:line="600" w:lineRule="exact"/>
        <w:ind w:firstLine="561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一、考核原则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1.二级学院科研工作考核采用打分制，分科研管理、科研项目、科研成果等三大项进行考核评分。具体打分办法请见附件。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2.每年考核一次，考核分数作为二级学院科研工作的评价依据。</w:t>
      </w:r>
    </w:p>
    <w:p>
      <w:pPr>
        <w:autoSpaceDE w:val="0"/>
        <w:autoSpaceDN w:val="0"/>
        <w:adjustRightInd w:val="0"/>
        <w:spacing w:line="600" w:lineRule="exact"/>
        <w:ind w:firstLine="561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二、考核指标、内容及评分标准</w:t>
      </w:r>
    </w:p>
    <w:p>
      <w:pPr>
        <w:autoSpaceDE w:val="0"/>
        <w:autoSpaceDN w:val="0"/>
        <w:adjustRightInd w:val="0"/>
        <w:spacing w:line="600" w:lineRule="exact"/>
        <w:ind w:firstLine="561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（见附表）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三、考核执行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1.考核分年度进行。每年12月中下旬由二级学院根据指标体系先进行自评，然后提交佐证材料报科研处。科研处以佐证材料为依据，对科研项目、科研成果进行核查、打分。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2.科研处于12月底赴各二级学院开展科研检查，听汇报看材料、打分。也可将材料收集后统一评比打分。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四、其他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1.以年度科研工作考核为依据，对二级学院做出科研工作排名，并评选出先进集体和先进个人。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2.各单位和个人不得弄虚作假，若发现此类现象，追究当事人和相关领导责任。</w:t>
      </w:r>
    </w:p>
    <w:p>
      <w:pPr>
        <w:autoSpaceDE w:val="0"/>
        <w:autoSpaceDN w:val="0"/>
        <w:adjustRightInd w:val="0"/>
        <w:spacing w:line="600" w:lineRule="exact"/>
        <w:ind w:firstLine="883" w:firstLineChars="2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小标宋" w:hAnsi="Microsoft JhengHei" w:eastAsia="小标宋" w:cs="Microsoft JhengHei"/>
          <w:b/>
          <w:color w:val="00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86360</wp:posOffset>
            </wp:positionV>
            <wp:extent cx="1580515" cy="1571625"/>
            <wp:effectExtent l="0" t="0" r="0" b="0"/>
            <wp:wrapNone/>
            <wp:docPr id="2" name="图片 2" descr="科研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研处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3.此办法从下发之日起执行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spacing w:line="600" w:lineRule="exact"/>
        <w:ind w:firstLine="7680" w:firstLineChars="240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科研处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2022年4月5日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rPr>
          <w:sz w:val="32"/>
        </w:rPr>
      </w:pPr>
      <w:r>
        <w:rPr>
          <w:sz w:val="24"/>
        </w:rPr>
        <w:pict>
          <v:shape id="AutoShape 8" o:spid="_x0000_s1028" o:spt="32" type="#_x0000_t32" style="position:absolute;left:0pt;margin-left:-2.15pt;margin-top:26.8pt;height:1.5pt;width:443.25pt;z-index:251660288;mso-width-relative:page;mso-height-relative:page;" filled="f" coordsize="21600,21600" o:gfxdata="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CwWQNgAAAAIAQAADwAAAAAA&#10;AAABACAAAAAiAAAAZHJzL2Rvd25yZXYueG1sUEsBAhQAFAAAAAgAh07iQDXRql7aAQAAtgMAAA4A&#10;AAAAAAAAAQAgAAAAJwEAAGRycy9lMm9Eb2MueG1sUEsFBgAAAAAGAAYAWQEAAHM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景德镇学院科研处                                         2022年4月8日发</w:t>
      </w:r>
    </w:p>
    <w:p>
      <w:pPr>
        <w:jc w:val="left"/>
        <w:rPr>
          <w:sz w:val="24"/>
        </w:rPr>
      </w:pPr>
      <w:r>
        <w:rPr>
          <w:sz w:val="24"/>
        </w:rPr>
        <w:pict>
          <v:shape id="AutoShape 9" o:spid="_x0000_s1027" o:spt="32" type="#_x0000_t32" style="position:absolute;left:0pt;flip:y;margin-left:-2.15pt;margin-top:8.5pt;height:1.5pt;width:447.75pt;z-index:251661312;mso-width-relative:page;mso-height-relative:page;" filled="f" coordsize="21600,21600" o:gfxdata="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0EoFtYAAAAIAQAADwAAAAAA&#10;AAABACAAAAAiAAAAZHJzL2Rvd25yZXYueG1sUEsBAhQAFAAAAAgAh07iQD4VihfcAQAAwAMAAA4A&#10;AAAAAAAAAQAgAAAAJQEAAGRycy9lMm9Eb2MueG1sUEsFBgAAAAAGAAYAWQEAAHM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1021" w:left="1418" w:header="851" w:footer="992" w:gutter="0"/>
          <w:cols w:space="720" w:num="1"/>
          <w:docGrid w:type="lines" w:linePitch="312" w:charSpace="0"/>
        </w:sectPr>
      </w:pPr>
    </w:p>
    <w:p>
      <w:pPr>
        <w:spacing w:beforeLines="100" w:line="400" w:lineRule="exact"/>
        <w:rPr>
          <w:rFonts w:hint="eastAsia" w:ascii="宋体" w:hAnsi="宋体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附表：                 景德镇学院二级学院科研工作考核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表</w:t>
      </w:r>
    </w:p>
    <w:tbl>
      <w:tblPr>
        <w:tblStyle w:val="5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638"/>
        <w:gridCol w:w="3933"/>
        <w:gridCol w:w="638"/>
        <w:gridCol w:w="4894"/>
        <w:gridCol w:w="127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指标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 核 具 体 内 容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分值</w:t>
            </w:r>
          </w:p>
        </w:tc>
        <w:tc>
          <w:tcPr>
            <w:tcW w:w="180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打分标准</w:t>
            </w: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考　核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 式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restart"/>
            <w:vAlign w:val="center"/>
          </w:tcPr>
          <w:p>
            <w:pPr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</w:t>
            </w:r>
          </w:p>
          <w:p>
            <w:pPr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</w:t>
            </w:r>
          </w:p>
          <w:p>
            <w:pPr>
              <w:ind w:firstLine="140" w:firstLineChars="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研</w:t>
            </w:r>
          </w:p>
          <w:p>
            <w:pPr>
              <w:ind w:firstLine="140" w:firstLineChars="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管</w:t>
            </w:r>
          </w:p>
          <w:p>
            <w:pPr>
              <w:ind w:firstLine="140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（20）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1.1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二级单位有领导中有专人分管科研工作，有科研秘书对接科研处，有年度科研工作规划和学期科研工作计划，并能很好实施。有科研工作总结。科研档案完整清晰。每一次自办的科研活动均及时发布新闻报道。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有规划和计划，并能较好实施。不足部分酌情扣分。每一项科研动态均及时发布新闻报道。</w:t>
            </w: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听汇报、看材料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1.2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每年党政联席会和党总支会专门研究科研工作3次以上，召开本单位项目组成员会议3次以上，对项目进行经常性督促检查。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每年专门研究科研工作3次，召开本系（院）项目组成员会议2次，可合并召开。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1.3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积极组织教职工或学生参加学校组织的科研会议和活动（一次不漏，且达到要求人数90％以上）。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能够组织教职工或学生参加学校组织的科研活动漏一次扣2分。仅达到要求人数70％以下扣2分。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1.4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积极主动开展项目论证、成果凝练等方面的工作。各学院的科普宣传、科技服务地方、智库咨询等科研活动积极组织和配合，每年达到4次及以上。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按照当年缺项数的比例扣分。组织不严密，</w:t>
            </w:r>
            <w:r>
              <w:rPr>
                <w:rFonts w:hint="eastAsia" w:ascii="宋体" w:hAnsi="宋体"/>
                <w:color w:val="000000"/>
                <w:szCs w:val="21"/>
              </w:rPr>
              <w:t>滥竽充数、质量低劣，敷衍塞则，酌情扣分。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1.5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积极举办学术研讨会、座谈会、茶话会、午餐会等研讨性质的学术会议，积极打造良好的科研氛围。每年在4次及以上。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以一级学科为单位开展，少一次扣2分.扣完为止。组织不严密，参加人数少于本学院教师专任教师总数2/3的情况，一次扣1分。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当年每4名教师举办学术讲座1次。并且，每5名教师当年</w:t>
            </w:r>
            <w:r>
              <w:rPr>
                <w:rFonts w:hint="eastAsia" w:ascii="宋体" w:hAnsi="宋体"/>
                <w:color w:val="000000"/>
                <w:szCs w:val="21"/>
              </w:rPr>
              <w:t>参加全国或国际学术会议1次以上并发表会议交流发言（以会议议程材料为依据）。且同一人最多计2次。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不足部分按比例扣分。出差经费从横向和纵向科研项目（课题）经费或学科专业建设经费支出。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2.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（40）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2.1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年国家级项目申报数指标</w:t>
            </w: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FFFFF"/>
              </w:rPr>
              <w:t>≥</w:t>
            </w:r>
            <w:r>
              <w:rPr>
                <w:rFonts w:hint="eastAsia" w:ascii="宋体" w:hAnsi="宋体"/>
                <w:color w:val="000000"/>
                <w:szCs w:val="21"/>
              </w:rPr>
              <w:t>（该学院高级职称人员数+获得博士学位的非高级职称人数－当年在研的国家级项目数）</w:t>
            </w:r>
            <w:r>
              <w:rPr>
                <w:rFonts w:eastAsia="仿宋_GB2312"/>
                <w:szCs w:val="21"/>
              </w:rPr>
              <w:t>×2/3</w:t>
            </w:r>
            <w:r>
              <w:rPr>
                <w:rFonts w:hint="eastAsia" w:eastAsia="仿宋_GB2312"/>
                <w:szCs w:val="21"/>
              </w:rPr>
              <w:t>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按缺项数的比例扣分。组织不严密，申请表滥竽充数、质量低劣，敷衍塞则，酌情扣分。最多可将该一项的比例分值完全扣除。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看材料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2.2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国家级项目立项。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立项1项即可得10分，多一项加10分，上不封顶。重点、杰出青年基金项目、重大项目，1项按3项计。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看材料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2.3</w:t>
            </w:r>
          </w:p>
        </w:tc>
        <w:tc>
          <w:tcPr>
            <w:tcW w:w="1452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省部级项目立项。</w:t>
            </w:r>
          </w:p>
        </w:tc>
        <w:tc>
          <w:tcPr>
            <w:tcW w:w="2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807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年每10名专任教师取得1项省规划项目或省科技厅项目，可得7分。部级项目立项1项即可得5分，多一项加5分，上不封顶。省部级重点、杰出青年基金项目、重大项目，1项按3项计。未尽事宜参考《科研工作量计算办法》执行。</w:t>
            </w:r>
          </w:p>
        </w:tc>
        <w:tc>
          <w:tcPr>
            <w:tcW w:w="469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看材料</w:t>
            </w:r>
          </w:p>
        </w:tc>
        <w:tc>
          <w:tcPr>
            <w:tcW w:w="31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2.4</w:t>
            </w:r>
          </w:p>
        </w:tc>
        <w:tc>
          <w:tcPr>
            <w:tcW w:w="1452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师均科研经费（含纵向和横向）达到硕士学位授权点的情况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2022年度达到《一级学科硕士学位授权点申请条件》各学科要求的1/3，即可得此项的满分。2023年达到1/2。不足部分按照比例扣分。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提供财务处证明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2.5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服务地方的情况，包括：签订产学研合作项目、产教融合或服务企业、服务地方等情况。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每8名专任教师达到1项者，即可得满分，不足部分按照比例扣分。不足8人，按四舍五入计。拿到一个省级科研平台，计10分，上不封顶。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看材料（协议）。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（40）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高级职称及具有博士学位的教师年人均发表B2（含）以上层次论文1篇及以上。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高于B2层次的论文，参考《科研工作量计算办法》中的规定增加比例。论著视同为B2论文，下同。各种专利、知识产权授权、译著、作品收藏等，参考《科研工作量计算办法》中的规定折算，下同。</w:t>
            </w: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提供三大期刊网的论文检索页面截图，或录用证明。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tcBorders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3.2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未拿到博士学位的讲师在C1（含）以上刊物年人均发表类论文1篇以上。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发布层次更高论文，参考《科研工作量计算办法》中的规定增加比例。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助教年人均在C2（含）以上发表论文1篇以上。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发布层次更高论文，参考《科研工作量计算办法》中的规定增加比例。</w:t>
            </w:r>
          </w:p>
        </w:tc>
        <w:tc>
          <w:tcPr>
            <w:tcW w:w="469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3.4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专任教师规模达20人，年获得1项省级以上科研成果奖，或科技奖项。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参考《科研工作量计算办法》计分，上不封顶。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3.5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学生课外学术科技竞赛获国家级奖，或</w:t>
            </w:r>
            <w:r>
              <w:rPr>
                <w:rFonts w:hint="eastAsia" w:ascii="宋体" w:hAnsi="宋体"/>
                <w:color w:val="000000"/>
                <w:szCs w:val="21"/>
              </w:rPr>
              <w:t>教师年内有成果</w:t>
            </w:r>
            <w:r>
              <w:rPr>
                <w:rFonts w:hint="eastAsia" w:ascii="宋体" w:hAnsi="宋体" w:cs="Arial"/>
                <w:szCs w:val="21"/>
              </w:rPr>
              <w:t>被转化和推广，取得显著社会经济效益。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学生课外学术科技竞赛获省部级奖</w:t>
            </w:r>
            <w:r>
              <w:rPr>
                <w:rFonts w:hint="eastAsia" w:ascii="宋体" w:hAnsi="宋体"/>
                <w:color w:val="000000"/>
                <w:szCs w:val="21"/>
              </w:rPr>
              <w:t>（3）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学生课外学术科技竞赛获市厅级奖（不含本校）</w:t>
            </w:r>
            <w:r>
              <w:rPr>
                <w:rFonts w:hint="eastAsia" w:ascii="宋体" w:hAnsi="宋体"/>
                <w:color w:val="000000"/>
                <w:szCs w:val="21"/>
              </w:rPr>
              <w:t>（1）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8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3.6</w:t>
            </w:r>
          </w:p>
        </w:tc>
        <w:tc>
          <w:tcPr>
            <w:tcW w:w="1452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研究成果被省部级以上政府或国家部委采纳。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807" w:type="pct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研究成果被市级以上政府或省直厅局采纳1次计4分。</w:t>
            </w:r>
          </w:p>
        </w:tc>
        <w:tc>
          <w:tcPr>
            <w:tcW w:w="46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看材料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color w:val="000000"/>
          <w:szCs w:val="21"/>
        </w:rPr>
      </w:pPr>
    </w:p>
    <w:p>
      <w:pPr>
        <w:rPr>
          <w:sz w:val="32"/>
        </w:rPr>
      </w:pPr>
      <w:r>
        <w:rPr>
          <w:rFonts w:hint="eastAsia" w:ascii="宋体" w:hAnsi="宋体"/>
          <w:szCs w:val="21"/>
        </w:rPr>
        <w:t>注：因篇幅所限，表中对各类科研项目、科研成果、科研获奖、社会服务类型等未能一一列出，未尽事宜参考</w:t>
      </w:r>
      <w:r>
        <w:rPr>
          <w:rFonts w:hint="eastAsia" w:ascii="宋体" w:hAnsi="宋体"/>
          <w:color w:val="000000"/>
          <w:szCs w:val="21"/>
        </w:rPr>
        <w:t>《科研工作量计算办法》中的规定折算执行。</w:t>
      </w:r>
    </w:p>
    <w:sectPr>
      <w:footerReference r:id="rId9" w:type="default"/>
      <w:pgSz w:w="16838" w:h="11906" w:orient="landscape"/>
      <w:pgMar w:top="1134" w:right="2098" w:bottom="1134" w:left="1985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449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283"/>
    <w:rsid w:val="001D4063"/>
    <w:rsid w:val="002B05CA"/>
    <w:rsid w:val="002C5340"/>
    <w:rsid w:val="00323017"/>
    <w:rsid w:val="005B19CF"/>
    <w:rsid w:val="006E72E7"/>
    <w:rsid w:val="007C520A"/>
    <w:rsid w:val="00A84FD9"/>
    <w:rsid w:val="00BB433F"/>
    <w:rsid w:val="00C3131A"/>
    <w:rsid w:val="00E70283"/>
    <w:rsid w:val="00EC1E75"/>
    <w:rsid w:val="00F57A96"/>
    <w:rsid w:val="10FE2109"/>
    <w:rsid w:val="14E9750B"/>
    <w:rsid w:val="195370A4"/>
    <w:rsid w:val="1D6848BB"/>
    <w:rsid w:val="1FD46237"/>
    <w:rsid w:val="29DA08EE"/>
    <w:rsid w:val="32146967"/>
    <w:rsid w:val="34F8431E"/>
    <w:rsid w:val="35C15F9B"/>
    <w:rsid w:val="3F5B5BD6"/>
    <w:rsid w:val="42132798"/>
    <w:rsid w:val="458A5BCD"/>
    <w:rsid w:val="47EB5948"/>
    <w:rsid w:val="4AFF7D5D"/>
    <w:rsid w:val="51705511"/>
    <w:rsid w:val="52F43F1F"/>
    <w:rsid w:val="53241E32"/>
    <w:rsid w:val="58820095"/>
    <w:rsid w:val="5C1E200D"/>
    <w:rsid w:val="5DD83CB9"/>
    <w:rsid w:val="66945FC4"/>
    <w:rsid w:val="6979007F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6"/>
        <o:r id="V:Rule2" type="connector" idref="#AutoShape 9"/>
        <o:r id="V:Rule3" type="connector" idref="#AutoShape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223;&#24503;&#38215;&#23398;&#38498;\&#20154;&#20107;&#31185;\&#21150;&#20844;&#23460;&#20107;&#21153;\&#26223;&#24503;&#38215;&#23398;&#38498;&#20154;&#20107;&#22788;&#32418;&#22836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F4637-FDFA-4F46-8C9E-2B58BF67F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景德镇学院人事处红头文模板.dotx</Template>
  <Pages>6</Pages>
  <Words>2233</Words>
  <Characters>2321</Characters>
  <Lines>18</Lines>
  <Paragraphs>5</Paragraphs>
  <TotalTime>4</TotalTime>
  <ScaleCrop>false</ScaleCrop>
  <LinksUpToDate>false</LinksUpToDate>
  <CharactersWithSpaces>2409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2020-04-13T08:23:00Z</dcterms:created>
  <dc:creator>bzn</dc:creator>
  <cp:lastModifiedBy>Administrator</cp:lastModifiedBy>
  <dcterms:modified xsi:type="dcterms:W3CDTF">2022-04-08T06:52:06Z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30E17029FA3441BC9C1591E442ADCD48</vt:lpwstr>
  </property>
</Properties>
</file>